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184</w:t>
      </w:r>
    </w:p>
    <w:p>
      <w:r>
        <w:t>Bundesgericht (BGE), 2001-10-17, DE</w:t>
      </w:r>
    </w:p>
    <w:p>
      <w:r>
        <w:rPr>
          <w:b/>
        </w:rPr>
        <w:t xml:space="preserve">Quelle: </w:t>
      </w:r>
      <w:r>
        <w:t>https://mcp.opencaselaw.ch/entscheid/bge_128 IV 184</w:t>
      </w:r>
    </w:p>
    <w:p>
      <w:r>
        <w:t>FR: ATF 128 IV 184</w:t>
      </w:r>
    </w:p>
    <w:p>
      <w:r>
        <w:t>IT: DTF 128 IV 184</w:t>
      </w:r>
    </w:p>
    <w:p>
      <w:pPr>
        <w:pStyle w:val="Heading2"/>
      </w:pPr>
      <w:r>
        <w:t>Regeste</w:t>
      </w:r>
    </w:p>
    <w:p>
      <w:r>
        <w:t>Regeste Art. 27 Abs. 1, Art. 26 Abs. 1 SVG; Pflicht zur Beachtung von nicht rechtmässig aufgestellten Signalen, Vertrauensprinzip. Auch nicht rechtmässig aufgestellte Signale oder Markierungen sind zu beachten, sofern sie einen schützenswerten Rechtsschein für andere Verkehrsteilnehmer begründen. Nichtigkeit kann nur in offenkundigen Ausnahmefällen angenommen werden (E. 4).</w:t>
      </w:r>
    </w:p>
    <w:p>
      <w:pPr>
        <w:pStyle w:val="Heading2"/>
      </w:pPr>
      <w:r>
        <w:t>Erwägungen</w:t>
      </w:r>
    </w:p>
    <w:p>
      <w:r>
        <w:rPr>
          <w:b/>
        </w:rPr>
        <w:t>E. 4.1</w:t>
      </w:r>
    </w:p>
    <w:p>
      <w:r>
        <w:t>Der Beschwerdeführer bringt vor, die Geschwindigkeit auf dem fraglichen Autobahnabschnitt sei zu Unrecht auf 80 km/h beschränkt worden. Die Verfügung des EDI über Geschwindigkeitsbeschränkungen auf der Nationalstrasse N 2 vom 18. Mai 1971 (BBl 1971 II 988), auf welche die Behörde sich stütze, erlaube eine Geschwindigkeitsbegrenzung nur im Belchentunnel selber, nicht aber auf den vorgelagerten Strecken. Auch der Wechsel zwischen Tunnels und offener Strecke rechtfertige keine Ausdehnung der Beschränkung. Die Signalisation leide an einem gravierenden Mangel und sei nicht bloss anfechtbar, sondern nichtig. Der Beschwerdeführer habe konkret keinen anderen Verkehrsteilnehmer gefährdet, der auf die nichtige Signalisation vertraut habe, und sei deshalb auch nicht strafbar. Das Obergericht hält die ausgedehnte Signalisation für zulässig angesichts des vorgelagerten Tunnels und der Spurverengung vor dem Belchentunnel. Jedenfalls sei sie mit Rücksicht auf die Rechtssicherheit im Strassenverkehr nicht als nichtig anzusehen.</w:t>
      </w:r>
    </w:p>
    <w:p>
      <w:r>
        <w:rPr>
          <w:b/>
        </w:rPr>
        <w:t>E. 4.2</w:t>
      </w:r>
    </w:p>
    <w:p>
      <w:r>
        <w:t>Art. 27 Abs. 1 SVG (SR 741.01) verlangt von den Strassenbenützern die Befolgung der Signale und Markierungen. Gemeint sind damit die rechtmässigen Verkehrszeichen. Denn es ist nicht der Sinn der genannten Gesetzesvorschrift, dem Verkehrsteilnehmer die Beachtung eines jeden Signals vorzuschreiben, völlig gleichgültig, ob dieses rechtmässig sei oder nicht ( BGE 99 IV 164 E. 5 S. 168; RENÉ SCHAFFHAUSER, Grundriss des schweizerischen Strassenverkehrsrechts, Bd. I, 1984, N. 287). Allerdings richten sich die Signale und Markierungen in der Regel an eine Vielzahl von BGE 128 IV 184 S. 186 Strassenbenützern. Diese müssen sich auf die Verkehrszeichen verlassen können, und eine allfällige Rechtswidrigkeit eines solchen Zeichens ist für sie meist nicht erkennbar. Würde beispielsweise einem rechtswidrig aufgestellten Stoppsignal oder rechtswidrig markierten Sicherheitslinien die Rechtsverbindlichkeit abgesprochen, wäre dies für Verkehrsteilnehmer, die auf den dadurch geschaffenen Rechtsschein vertrauen, mit grossen Gefahren verbunden. Im Interesse der Verkehrssicherheit verlangt die Rechtsprechung des Bundesgerichts deshalb, dass auch nicht rechtmässig aufgestellte Signale und Markierungen befolgt werden müssen. Diese Pflicht zur Beachtung rechtswidriger Verkehrszeichen ergibt sich aus dem aus Art. 26 Abs. 1 SVG abgeleiteten Vertrauensgrundsatz im Strassenverkehr. Der Strassenbenützer, der die Rechtswidrigkeit eines Signals kennt, darf nicht durch dessen Missachtung andere Verkehrsteilnehmer, die auf den dadurch geschaffenen Rechtsschein vertrauen, gefährden ( BGE 99 IV 164 E. 6 S. 169 f.; SCHAFFHAUSER, a.a.O., N. 288). Die genannte Pflicht bezieht sich freilich nur auf Verkehrszeichen, die einen schützenswerten Rechtsschein für andere Verkehrsteilnehmer zu begründen vermögen, dagegen nicht auf Anordnungen, deren Missachtung keine konkrete Gefährdung anderer Strassenbenützer bewirkt, wie dies häufig auf Parkverbote zutrifft ( BGE 103 IV 190 ; BGE 98 IV 264 ). Die Verbindlichkeit vertrauensbegründender Verkehrszeichen findet eine Grenze zudem bei nichtigen Anordnungen, deren Mangelhaftigkeit besonders schwer wiegt und offensichtlich oder zumindest leicht erkennbar ist, freilich nur, wenn die Verkehrssicherheit der Annahme der Nichtigkeit nicht entgegensteht ( BGE 122 I 97 E. 3a/aa S. 99). Fehlerhafte Verkehrszeichen, die nicht geradezu nichtig sind, können auf dem Weg der Verwaltungsrechtspflege angefochten werden. Zwar kann an sich unter bestimmten Voraussetzungen auch der Strafrichter die Rechtmässigkeit von Allgemeinverfügungen, wie sie Verkehrssignale darstellen, überprüfen ( BGE 98 IV 264 E. 2 S. 266 f.; missverständlich in dieser Hinsicht BGE 113 IV 123 ; vgl. die Kritik zum zuletztgenannten Entscheid bei ULRICH HÄFELIN/GEORG MÜLLER, Grundriss des Allgemeinen Verwaltungsrechts, 3. Aufl. 1998, Rz. 742 f.); doch ändert nach dem Ausgeführten eine von ihm allenfalls festgestellte Rechtswidrigkeit eines Verkehrszeichens nichts an dessen Verbindlichkeit, solange es nicht geradezu nichtig ist (vgl. BGE 113 IV 123 E. 2b S. 124 f.).</w:t>
      </w:r>
    </w:p>
    <w:p>
      <w:r>
        <w:rPr>
          <w:b/>
        </w:rPr>
        <w:t>E. 4.3</w:t>
      </w:r>
    </w:p>
    <w:p>
      <w:r>
        <w:t>Signalisierungen der zulässigen Höchstgeschwindigkeit schaffen Vertrauen, auf das sich die Strassenbenützer bei vielen BGE 128 IV 184 S. 187 Verkehrsvorgängen (Abbiegen, Überholen etc.) müssen verlassen können. Nach den obigen Darlegungen sind daher auch rechtswidrig aufgestellte Höchstgeschwindigkeitssignale grundsätzlich zu beachten. Etwas anderes kann nur in besonderen Ausnahmefällen gelten, wenn solche Anordnungen ganz offenkundig mangelhaft und damit nichtig sind ( BGE 113 IV 123 E. 2b S. 124 f.; noch weniger einschränkend dagegen BGE 99 IV 164 E. 6 S. 170). Selbst wenn die in Frage stehende Geschwindigkeitsbeschränkung einen grösseren Streckenabschnitt abdecken sollte als in der massgebenden Verfügung des EDI erwähnt, ist sie im Lichte dieser Praxis keinesfalls nichtig. Weder ist sie offensichtlich und für alle erkennbar mangelhaft, noch kann sie übergangen werden, ohne die Rechtssicherheit und die Sicherheit der anderen Verkehrsteilnehmer zu gefährden. Im Gegenteil erscheint die Begrenzung der Höchstgeschwindigkeit nachvollziehbar angesichts des Wechsels von Tunnels und offener Strecke sowie der Spurverengung vor dem Belchentunnel. Unter diesen Umständen müssen die Verkehrsteilnehmer darauf vertrauen können, dass sich alle Fahrzeuglenker an die angegebene Höchstgeschwindigkeit 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